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rPr/>
      </w:pPr>
      <w:r w:rsidDel="00000000" w:rsidR="00000000" w:rsidRPr="00000000">
        <w:rPr>
          <w:rtl w:val="0"/>
        </w:rPr>
        <w:t xml:space="preserve">FPT – ionizující záření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numPr>
          <w:ilvl w:val="0"/>
          <w:numId w:val="3"/>
        </w:numPr>
        <w:ind w:left="432" w:hanging="432"/>
        <w:rPr/>
      </w:pPr>
      <w:r w:rsidDel="00000000" w:rsidR="00000000" w:rsidRPr="00000000">
        <w:rPr>
          <w:rtl w:val="0"/>
        </w:rPr>
        <w:t xml:space="preserve">Osobní dozimetr – princip činnosti.</w:t>
      </w:r>
    </w:p>
    <w:p w:rsidR="00000000" w:rsidDel="00000000" w:rsidP="00000000" w:rsidRDefault="00000000" w:rsidRPr="00000000" w14:paraId="00000004">
      <w:pPr>
        <w:numPr>
          <w:ilvl w:val="0"/>
          <w:numId w:val="4"/>
        </w:numP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Termoluminiscenční dozimetry (TLD)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1"/>
          <w:numId w:val="4"/>
        </w:numPr>
        <w:spacing w:after="0" w:lineRule="auto"/>
        <w:ind w:left="1440" w:hanging="360"/>
        <w:rPr/>
      </w:pPr>
      <w:r w:rsidDel="00000000" w:rsidR="00000000" w:rsidRPr="00000000">
        <w:rPr>
          <w:color w:val="000000"/>
          <w:rtl w:val="0"/>
        </w:rPr>
        <w:t xml:space="preserve">Obsahují termoluminiscenční látku (např. fluorid vápenatý)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1"/>
          <w:numId w:val="4"/>
        </w:numPr>
        <w:spacing w:after="0" w:lineRule="auto"/>
        <w:ind w:left="1440" w:hanging="360"/>
        <w:rPr/>
      </w:pPr>
      <w:r w:rsidDel="00000000" w:rsidR="00000000" w:rsidRPr="00000000">
        <w:rPr>
          <w:color w:val="000000"/>
          <w:rtl w:val="0"/>
        </w:rPr>
        <w:t xml:space="preserve">V TLD je zapouzdřen vzorek přesně definovaného množství dané látky.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1"/>
          <w:numId w:val="4"/>
        </w:numPr>
        <w:spacing w:after="0" w:lineRule="auto"/>
        <w:ind w:left="1440" w:hanging="360"/>
        <w:rPr/>
      </w:pPr>
      <w:r w:rsidDel="00000000" w:rsidR="00000000" w:rsidRPr="00000000">
        <w:rPr>
          <w:color w:val="000000"/>
          <w:rtl w:val="0"/>
        </w:rPr>
        <w:t xml:space="preserve">Po skončení expozice TLD látku zahřejeme na teplotu cca 160-300°C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1"/>
          <w:numId w:val="4"/>
        </w:numPr>
        <w:spacing w:after="0" w:lineRule="auto"/>
        <w:ind w:left="1440" w:hanging="360"/>
        <w:rPr/>
      </w:pPr>
      <w:r w:rsidDel="00000000" w:rsidR="00000000" w:rsidRPr="00000000">
        <w:rPr>
          <w:color w:val="000000"/>
          <w:rtl w:val="0"/>
        </w:rPr>
        <w:t xml:space="preserve">Fotonásobič snímá emitované viditelné světlo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1"/>
          <w:numId w:val="4"/>
        </w:numPr>
        <w:spacing w:after="0" w:lineRule="auto"/>
        <w:ind w:left="1440" w:hanging="360"/>
        <w:rPr/>
      </w:pPr>
      <w:r w:rsidDel="00000000" w:rsidR="00000000" w:rsidRPr="00000000">
        <w:rPr>
          <w:color w:val="000000"/>
          <w:rtl w:val="0"/>
        </w:rPr>
        <w:t xml:space="preserve">Elektrický signál z fotonásobiče se zaznamenává v závislosti na teplotě - vzniká tzv. vyhřívací křivka,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1"/>
          <w:numId w:val="4"/>
        </w:numPr>
        <w:spacing w:after="0" w:lineRule="auto"/>
        <w:ind w:left="1440" w:hanging="360"/>
        <w:rPr/>
      </w:pPr>
      <w:r w:rsidDel="00000000" w:rsidR="00000000" w:rsidRPr="00000000">
        <w:rPr>
          <w:color w:val="000000"/>
          <w:rtl w:val="0"/>
        </w:rPr>
        <w:t xml:space="preserve">integrál vyhřívací křivky (plocha pod křivkou) je úměrný dávce v dozimetru.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4"/>
        </w:numP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Fotoluminiscenční dozimetry (OSL)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1"/>
          <w:numId w:val="4"/>
        </w:numPr>
        <w:spacing w:after="0" w:lineRule="auto"/>
        <w:ind w:left="1440" w:hanging="360"/>
        <w:rPr/>
      </w:pPr>
      <w:r w:rsidDel="00000000" w:rsidR="00000000" w:rsidRPr="00000000">
        <w:rPr>
          <w:color w:val="000000"/>
          <w:rtl w:val="0"/>
        </w:rPr>
        <w:t xml:space="preserve">OSL Opticky stimulovaná luminiscence obsahuje oxid hlinitý Al2O3(:C), aktivovaný uhlíkem.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1"/>
          <w:numId w:val="4"/>
        </w:numPr>
        <w:spacing w:after="0" w:lineRule="auto"/>
        <w:ind w:left="1440" w:hanging="360"/>
        <w:rPr/>
      </w:pPr>
      <w:r w:rsidDel="00000000" w:rsidR="00000000" w:rsidRPr="00000000">
        <w:rPr>
          <w:color w:val="000000"/>
          <w:rtl w:val="0"/>
        </w:rPr>
        <w:t xml:space="preserve">K vyhodnocování se používá ozáření světlem LED diody (o větší vlnové délce - žlutozelené světlo), přičemž vzniklá luminiscence (v kratší vlnové délce - modré světlo) detekována fotonásobičem.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1"/>
          <w:numId w:val="4"/>
        </w:numPr>
        <w:spacing w:after="0" w:lineRule="auto"/>
        <w:ind w:left="1440" w:hanging="360"/>
        <w:rPr/>
      </w:pPr>
      <w:r w:rsidDel="00000000" w:rsidR="00000000" w:rsidRPr="00000000">
        <w:rPr>
          <w:color w:val="000000"/>
          <w:rtl w:val="0"/>
        </w:rPr>
        <w:t xml:space="preserve">Luminiscence úměrná ozáření dozimetru.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1"/>
          <w:numId w:val="4"/>
        </w:numPr>
        <w:spacing w:after="0" w:lineRule="auto"/>
        <w:ind w:left="1440" w:hanging="360"/>
        <w:rPr/>
      </w:pPr>
      <w:r w:rsidDel="00000000" w:rsidR="00000000" w:rsidRPr="00000000">
        <w:rPr>
          <w:color w:val="000000"/>
          <w:rtl w:val="0"/>
        </w:rPr>
        <w:t xml:space="preserve">Ve srovnání s TLD je vyhodnocení jednodušší a reprodukovatelnějí (ozařování LED diodou se snadněji standardizuje než řízené teplotní vyhřívání)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1"/>
        <w:numPr>
          <w:ilvl w:val="0"/>
          <w:numId w:val="3"/>
        </w:numPr>
        <w:ind w:left="432" w:hanging="432"/>
        <w:rPr/>
      </w:pPr>
      <w:r w:rsidDel="00000000" w:rsidR="00000000" w:rsidRPr="00000000">
        <w:rPr>
          <w:rtl w:val="0"/>
        </w:rPr>
        <w:t xml:space="preserve">Ionizační komora – princip činnosti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0" distT="0" distL="0" distR="0">
            <wp:extent cx="5035809" cy="2883048"/>
            <wp:effectExtent b="0" l="0" r="0" t="0"/>
            <wp:docPr id="6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5809" cy="28830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1"/>
        <w:numPr>
          <w:ilvl w:val="0"/>
          <w:numId w:val="3"/>
        </w:numPr>
        <w:ind w:left="432" w:hanging="432"/>
        <w:rPr/>
      </w:pPr>
      <w:r w:rsidDel="00000000" w:rsidR="00000000" w:rsidRPr="00000000">
        <w:rPr>
          <w:rtl w:val="0"/>
        </w:rPr>
        <w:t xml:space="preserve">Scintilační detektor IZ – princip činnosti.</w:t>
      </w:r>
    </w:p>
    <w:p w:rsidR="00000000" w:rsidDel="00000000" w:rsidP="00000000" w:rsidRDefault="00000000" w:rsidRPr="00000000" w14:paraId="00000015">
      <w:pPr>
        <w:rPr/>
      </w:pPr>
      <w:hyperlink r:id="rId8">
        <w:r w:rsidDel="00000000" w:rsidR="00000000" w:rsidRPr="00000000">
          <w:rPr>
            <w:color w:val="0563c1"/>
            <w:u w:val="single"/>
            <w:rtl w:val="0"/>
          </w:rPr>
          <w:t xml:space="preserve">https://astronuklfyzika.cz/DetekceSpektrometrie.htm#4</w:t>
        </w:r>
      </w:hyperlink>
      <w:r w:rsidDel="00000000" w:rsidR="00000000" w:rsidRPr="00000000">
        <w:rPr>
          <w:rtl w:val="0"/>
        </w:rPr>
        <w:t xml:space="preserve"> odrážka 2.4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0" distT="0" distL="0" distR="0">
            <wp:extent cx="4946904" cy="3073558"/>
            <wp:effectExtent b="0" l="0" r="0" t="0"/>
            <wp:docPr id="6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30735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1"/>
        <w:numPr>
          <w:ilvl w:val="0"/>
          <w:numId w:val="3"/>
        </w:numPr>
        <w:ind w:left="432" w:hanging="432"/>
        <w:rPr/>
      </w:pPr>
      <w:r w:rsidDel="00000000" w:rsidR="00000000" w:rsidRPr="00000000">
        <w:rPr>
          <w:rtl w:val="0"/>
        </w:rPr>
        <w:t xml:space="preserve">Rentgenka – princip činnosti.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0" distT="0" distL="0" distR="0">
            <wp:extent cx="4464279" cy="2991004"/>
            <wp:effectExtent b="0" l="0" r="0" t="0"/>
            <wp:docPr descr="Obsah obrázku text&#10;&#10;Popis byl vytvořen automaticky" id="65" name="image19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1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29910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0" distT="0" distL="0" distR="0">
            <wp:extent cx="4483330" cy="2571882"/>
            <wp:effectExtent b="0" l="0" r="0" t="0"/>
            <wp:docPr id="6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3330" cy="25718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0" distT="0" distL="0" distR="0">
            <wp:extent cx="5112013" cy="3270418"/>
            <wp:effectExtent b="0" l="0" r="0" t="0"/>
            <wp:docPr id="6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32704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0" distT="0" distL="0" distR="0">
            <wp:extent cx="5181866" cy="3492679"/>
            <wp:effectExtent b="0" l="0" r="0" t="0"/>
            <wp:docPr id="7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34926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1"/>
        <w:numPr>
          <w:ilvl w:val="0"/>
          <w:numId w:val="3"/>
        </w:numPr>
        <w:ind w:left="432" w:hanging="432"/>
        <w:rPr/>
      </w:pPr>
      <w:r w:rsidDel="00000000" w:rsidR="00000000" w:rsidRPr="00000000">
        <w:rPr>
          <w:rtl w:val="0"/>
        </w:rPr>
        <w:t xml:space="preserve">Výpočetní tomografie (CT) – princip činnosti.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0" distT="0" distL="0" distR="0">
            <wp:extent cx="5048509" cy="2984653"/>
            <wp:effectExtent b="0" l="0" r="0" t="0"/>
            <wp:docPr id="6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8509" cy="29846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0" distT="0" distL="0" distR="0">
            <wp:extent cx="5099312" cy="3289469"/>
            <wp:effectExtent b="0" l="0" r="0" t="0"/>
            <wp:docPr id="7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9312" cy="32894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0" distT="0" distL="0" distR="0">
            <wp:extent cx="3518081" cy="3016405"/>
            <wp:effectExtent b="0" l="0" r="0" t="0"/>
            <wp:docPr id="7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8081" cy="3016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1"/>
        <w:numPr>
          <w:ilvl w:val="0"/>
          <w:numId w:val="3"/>
        </w:numPr>
        <w:ind w:left="432" w:hanging="432"/>
        <w:rPr/>
      </w:pPr>
      <w:r w:rsidDel="00000000" w:rsidR="00000000" w:rsidRPr="00000000">
        <w:rPr>
          <w:rtl w:val="0"/>
        </w:rPr>
        <w:t xml:space="preserve">Jednofotonová emisní výpočetní tomografie (SPECT) – princip činnosti.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Stejné jako PET - jen radiofarmakum podané pacientovi nezáří beta+ jako u PETu ale gama (proto jednofotonová - u PETu jsou vyzářeny 2 gama fotony).</w:t>
      </w:r>
    </w:p>
    <w:p w:rsidR="00000000" w:rsidDel="00000000" w:rsidP="00000000" w:rsidRDefault="00000000" w:rsidRPr="00000000" w14:paraId="00000023">
      <w:pPr>
        <w:pStyle w:val="Heading1"/>
        <w:numPr>
          <w:ilvl w:val="0"/>
          <w:numId w:val="3"/>
        </w:numPr>
        <w:ind w:left="432" w:hanging="432"/>
        <w:rPr/>
      </w:pPr>
      <w:r w:rsidDel="00000000" w:rsidR="00000000" w:rsidRPr="00000000">
        <w:rPr>
          <w:rtl w:val="0"/>
        </w:rPr>
        <w:t xml:space="preserve">Pozitronová emisní tomografie (PET) – princip činnosti.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0" distT="0" distL="0" distR="0">
            <wp:extent cx="5454930" cy="3187864"/>
            <wp:effectExtent b="0" l="0" r="0" t="0"/>
            <wp:docPr id="7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4930" cy="31878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0" distT="0" distL="0" distR="0">
            <wp:extent cx="5004057" cy="3175163"/>
            <wp:effectExtent b="0" l="0" r="0" t="0"/>
            <wp:docPr descr="Obsah obrázku text&#10;&#10;Popis byl vytvořen automaticky" id="75" name="image26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2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4057" cy="3175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0" distT="0" distL="0" distR="0">
            <wp:extent cx="4972306" cy="3098959"/>
            <wp:effectExtent b="0" l="0" r="0" t="0"/>
            <wp:docPr id="7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2306" cy="30989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1"/>
        <w:numPr>
          <w:ilvl w:val="0"/>
          <w:numId w:val="3"/>
        </w:numPr>
        <w:ind w:left="432" w:hanging="432"/>
        <w:rPr/>
      </w:pPr>
      <w:r w:rsidDel="00000000" w:rsidR="00000000" w:rsidRPr="00000000">
        <w:rPr>
          <w:rtl w:val="0"/>
        </w:rPr>
        <w:t xml:space="preserve">Způsoby ochrany před Ionizujícím zářením.</w:t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Čas – minimalizace doby ozařování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1"/>
          <w:numId w:val="1"/>
        </w:numPr>
        <w:spacing w:after="0" w:lineRule="auto"/>
        <w:ind w:left="1440" w:hanging="360"/>
        <w:rPr/>
      </w:pPr>
      <w:r w:rsidDel="00000000" w:rsidR="00000000" w:rsidRPr="00000000">
        <w:rPr>
          <w:color w:val="000000"/>
          <w:rtl w:val="0"/>
        </w:rPr>
        <w:t xml:space="preserve">Obdržená dávka je přímoúměrná době expozice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Vzdálenost – intenzita ozáření klesá s 2. mocninou vzdálenosti od zdroje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Stínění – zeslabuje účinek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1"/>
          <w:numId w:val="1"/>
        </w:numPr>
        <w:spacing w:after="0" w:lineRule="auto"/>
        <w:ind w:left="1440" w:hanging="360"/>
        <w:rPr/>
      </w:pPr>
      <w:r w:rsidDel="00000000" w:rsidR="00000000" w:rsidRPr="00000000">
        <w:rPr>
          <w:color w:val="000000"/>
          <w:rtl w:val="0"/>
        </w:rPr>
        <w:t xml:space="preserve">Alpha – papír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1"/>
          <w:numId w:val="1"/>
        </w:numPr>
        <w:spacing w:after="0" w:lineRule="auto"/>
        <w:ind w:left="1440" w:hanging="360"/>
        <w:rPr/>
      </w:pPr>
      <w:r w:rsidDel="00000000" w:rsidR="00000000" w:rsidRPr="00000000">
        <w:rPr>
          <w:color w:val="000000"/>
          <w:rtl w:val="0"/>
        </w:rPr>
        <w:t xml:space="preserve">Elektron/pozitron – hliník/měď fólie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1"/>
          <w:numId w:val="1"/>
        </w:numPr>
        <w:spacing w:after="0" w:lineRule="auto"/>
        <w:ind w:left="1440" w:hanging="360"/>
        <w:rPr/>
      </w:pPr>
      <w:r w:rsidDel="00000000" w:rsidR="00000000" w:rsidRPr="00000000">
        <w:rPr>
          <w:color w:val="000000"/>
          <w:rtl w:val="0"/>
        </w:rPr>
        <w:t xml:space="preserve">Gama – větší vrstva těžkého kovu (olovo, wolfram)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1"/>
          <w:numId w:val="1"/>
        </w:numPr>
        <w:ind w:left="1440" w:hanging="360"/>
        <w:rPr/>
      </w:pPr>
      <w:r w:rsidDel="00000000" w:rsidR="00000000" w:rsidRPr="00000000">
        <w:rPr>
          <w:color w:val="000000"/>
          <w:rtl w:val="0"/>
        </w:rPr>
        <w:t xml:space="preserve">Neutron – beton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Subtitle"/>
        <w:rPr/>
      </w:pPr>
      <w:r w:rsidDel="00000000" w:rsidR="00000000" w:rsidRPr="00000000">
        <w:rPr>
          <w:rtl w:val="0"/>
        </w:rPr>
        <w:t xml:space="preserve">Stínění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0" distT="0" distL="0" distR="0">
            <wp:extent cx="4610337" cy="2660787"/>
            <wp:effectExtent b="0" l="0" r="0" t="0"/>
            <wp:docPr descr="Obsah obrázku text&#10;&#10;Popis byl vytvořen automaticky" id="79" name="image21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2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0337" cy="2660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0" distT="0" distL="0" distR="0">
            <wp:extent cx="4642089" cy="2394073"/>
            <wp:effectExtent b="0" l="0" r="0" t="0"/>
            <wp:docPr descr="Obsah obrázku text&#10;&#10;Popis byl vytvořen automaticky" id="80" name="image29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2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2089" cy="23940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4578585" cy="3213265"/>
            <wp:effectExtent b="0" l="0" r="0" t="0"/>
            <wp:docPr descr="Obsah obrázku text&#10;&#10;Popis byl vytvořen automaticky" id="81" name="image33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3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32132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1"/>
        <w:numPr>
          <w:ilvl w:val="0"/>
          <w:numId w:val="3"/>
        </w:numPr>
        <w:ind w:left="432" w:hanging="432"/>
        <w:rPr/>
      </w:pPr>
      <w:r w:rsidDel="00000000" w:rsidR="00000000" w:rsidRPr="00000000">
        <w:rPr>
          <w:rtl w:val="0"/>
        </w:rPr>
        <w:t xml:space="preserve">Základní limity radiačních dávek.</w:t>
      </w:r>
    </w:p>
    <w:tbl>
      <w:tblPr>
        <w:tblStyle w:val="Table1"/>
        <w:tblW w:w="906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20"/>
        <w:gridCol w:w="3020"/>
        <w:gridCol w:w="3020"/>
        <w:tblGridChange w:id="0">
          <w:tblGrid>
            <w:gridCol w:w="3020"/>
            <w:gridCol w:w="3020"/>
            <w:gridCol w:w="30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8">
            <w:pPr>
              <w:rPr/>
            </w:pPr>
            <w:r w:rsidDel="00000000" w:rsidR="00000000" w:rsidRPr="00000000">
              <w:rPr>
                <w:rtl w:val="0"/>
              </w:rPr>
              <w:t xml:space="preserve">5 po sobě následujících let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9">
            <w:pPr>
              <w:rPr/>
            </w:pPr>
            <w:r w:rsidDel="00000000" w:rsidR="00000000" w:rsidRPr="00000000">
              <w:rPr>
                <w:rtl w:val="0"/>
              </w:rPr>
              <w:t xml:space="preserve">V 1 roce za předpokladu dodržení 5letého limitu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A">
            <w:pPr>
              <w:rPr/>
            </w:pPr>
            <w:r w:rsidDel="00000000" w:rsidR="00000000" w:rsidRPr="00000000">
              <w:rPr>
                <w:rtl w:val="0"/>
              </w:rPr>
              <w:t xml:space="preserve">Pracovník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B">
            <w:pPr>
              <w:rPr/>
            </w:pPr>
            <w:r w:rsidDel="00000000" w:rsidR="00000000" w:rsidRPr="00000000">
              <w:rPr>
                <w:rtl w:val="0"/>
              </w:rPr>
              <w:t xml:space="preserve">20 mSv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C">
            <w:pPr>
              <w:rPr/>
            </w:pPr>
            <w:r w:rsidDel="00000000" w:rsidR="00000000" w:rsidRPr="00000000">
              <w:rPr>
                <w:rtl w:val="0"/>
              </w:rPr>
              <w:t xml:space="preserve">50 mSv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D">
            <w:pPr>
              <w:rPr/>
            </w:pPr>
            <w:r w:rsidDel="00000000" w:rsidR="00000000" w:rsidRPr="00000000">
              <w:rPr>
                <w:rtl w:val="0"/>
              </w:rPr>
              <w:t xml:space="preserve">Ostatní obyvatelstvo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E">
            <w:pPr>
              <w:rPr/>
            </w:pPr>
            <w:r w:rsidDel="00000000" w:rsidR="00000000" w:rsidRPr="00000000">
              <w:rPr>
                <w:rtl w:val="0"/>
              </w:rPr>
              <w:t xml:space="preserve">1 mSv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F">
            <w:pPr>
              <w:rPr/>
            </w:pPr>
            <w:r w:rsidDel="00000000" w:rsidR="00000000" w:rsidRPr="00000000">
              <w:rPr>
                <w:rtl w:val="0"/>
              </w:rPr>
              <w:t xml:space="preserve">5 mSv</w:t>
            </w:r>
          </w:p>
        </w:tc>
      </w:tr>
    </w:tbl>
    <w:p w:rsidR="00000000" w:rsidDel="00000000" w:rsidP="00000000" w:rsidRDefault="00000000" w:rsidRPr="00000000" w14:paraId="00000040">
      <w:pPr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  <w:t xml:space="preserve">Limity se nevztahují na lékařské ozáření a přírodní zdroje.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1"/>
        <w:numPr>
          <w:ilvl w:val="0"/>
          <w:numId w:val="3"/>
        </w:numPr>
        <w:ind w:left="432" w:hanging="432"/>
        <w:rPr/>
      </w:pPr>
      <w:r w:rsidDel="00000000" w:rsidR="00000000" w:rsidRPr="00000000">
        <w:rPr>
          <w:rtl w:val="0"/>
        </w:rPr>
        <w:t xml:space="preserve">Princip ALARA.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0" distT="0" distL="0" distR="0">
            <wp:extent cx="4123690" cy="1942465"/>
            <wp:effectExtent b="0" l="0" r="0" t="0"/>
            <wp:docPr id="8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1942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1"/>
        <w:numPr>
          <w:ilvl w:val="0"/>
          <w:numId w:val="3"/>
        </w:numPr>
        <w:ind w:left="432" w:hanging="432"/>
        <w:rPr/>
      </w:pPr>
      <w:r w:rsidDel="00000000" w:rsidR="00000000" w:rsidRPr="00000000">
        <w:rPr>
          <w:rtl w:val="0"/>
        </w:rPr>
        <w:t xml:space="preserve">Deterministické a stochastické účinky IZ, vzájemné rozdíly.</w:t>
      </w:r>
    </w:p>
    <w:p w:rsidR="00000000" w:rsidDel="00000000" w:rsidP="00000000" w:rsidRDefault="00000000" w:rsidRPr="00000000" w14:paraId="00000045">
      <w:pPr>
        <w:pStyle w:val="Subtitle"/>
        <w:rPr/>
      </w:pPr>
      <w:r w:rsidDel="00000000" w:rsidR="00000000" w:rsidRPr="00000000">
        <w:rPr>
          <w:rtl w:val="0"/>
        </w:rPr>
        <w:t xml:space="preserve">Deterministické</w:t>
      </w:r>
    </w:p>
    <w:p w:rsidR="00000000" w:rsidDel="00000000" w:rsidP="00000000" w:rsidRDefault="00000000" w:rsidRPr="00000000" w14:paraId="00000046">
      <w:pPr>
        <w:numPr>
          <w:ilvl w:val="0"/>
          <w:numId w:val="2"/>
        </w:numPr>
        <w:spacing w:after="0" w:line="256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Důsledek zániku buněk, který vede na ztrátu funkce tkáně/orgánu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2"/>
        </w:numPr>
        <w:spacing w:after="0" w:line="256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Záhy po ozáření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2"/>
        </w:numPr>
        <w:spacing w:after="0" w:line="256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Klinicky jednoznačný projev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2"/>
        </w:numPr>
        <w:spacing w:after="0" w:line="256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Ví se že vzniklo po ozáření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2"/>
        </w:numPr>
        <w:spacing w:after="0" w:line="256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Nastává po dosažení prahu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1"/>
          <w:numId w:val="2"/>
        </w:numPr>
        <w:spacing w:after="0" w:line="256" w:lineRule="auto"/>
        <w:ind w:left="1440" w:hanging="360"/>
        <w:rPr/>
      </w:pPr>
      <w:r w:rsidDel="00000000" w:rsidR="00000000" w:rsidRPr="00000000">
        <w:rPr>
          <w:color w:val="000000"/>
          <w:rtl w:val="0"/>
        </w:rPr>
        <w:t xml:space="preserve">pod prahem nevzniká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1"/>
          <w:numId w:val="2"/>
        </w:numPr>
        <w:spacing w:after="0" w:line="256" w:lineRule="auto"/>
        <w:ind w:left="1440" w:hanging="360"/>
        <w:rPr/>
      </w:pPr>
      <w:r w:rsidDel="00000000" w:rsidR="00000000" w:rsidRPr="00000000">
        <w:rPr>
          <w:color w:val="000000"/>
          <w:rtl w:val="0"/>
        </w:rPr>
        <w:t xml:space="preserve">nad prahem platí – čím vyšší dávka tím horší účinek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2"/>
        </w:numPr>
        <w:spacing w:line="256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Ochrana – pro úplné vyloučení zamezíme dosažení prahových dávek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Subtitle"/>
        <w:rPr/>
      </w:pPr>
      <w:r w:rsidDel="00000000" w:rsidR="00000000" w:rsidRPr="00000000">
        <w:rPr>
          <w:rtl w:val="0"/>
        </w:rPr>
        <w:t xml:space="preserve">Stochastické</w:t>
      </w:r>
    </w:p>
    <w:p w:rsidR="00000000" w:rsidDel="00000000" w:rsidP="00000000" w:rsidRDefault="00000000" w:rsidRPr="00000000" w14:paraId="0000004F">
      <w:pPr>
        <w:numPr>
          <w:ilvl w:val="0"/>
          <w:numId w:val="2"/>
        </w:numPr>
        <w:spacing w:after="0" w:line="256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V důsedku změn v buňkách vystavených záření, které ale toto ozařování přežily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2"/>
        </w:numPr>
        <w:spacing w:after="0" w:line="256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Projevují se po delší době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2"/>
        </w:numPr>
        <w:spacing w:after="0" w:line="256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Buňka se může stát zdrojem nádorového bujení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2"/>
        </w:numPr>
        <w:spacing w:after="0" w:line="256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Neexistuje žádná prahová dávka -&gt; žádná dávka není z tohoto pohledu bezpečná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2"/>
        </w:numPr>
        <w:spacing w:after="0" w:line="256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S rostoucí dávkou roste riziko vzniku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2"/>
        </w:numPr>
        <w:spacing w:after="0" w:line="256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Nelze odlišit od spontánních výskytů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2"/>
        </w:numPr>
        <w:spacing w:line="256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Projevuje se i po letech – i v další generaci (skrze geny)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1"/>
        <w:numPr>
          <w:ilvl w:val="0"/>
          <w:numId w:val="3"/>
        </w:numPr>
        <w:ind w:left="432" w:hanging="432"/>
        <w:rPr/>
      </w:pPr>
      <w:r w:rsidDel="00000000" w:rsidR="00000000" w:rsidRPr="00000000">
        <w:rPr>
          <w:rtl w:val="0"/>
        </w:rPr>
        <w:t xml:space="preserve">Sledované a kontrolované pásmo se zdroji IZ, vzájemné rozdíly.</w:t>
      </w:r>
    </w:p>
    <w:p w:rsidR="00000000" w:rsidDel="00000000" w:rsidP="00000000" w:rsidRDefault="00000000" w:rsidRPr="00000000" w14:paraId="00000058">
      <w:pPr>
        <w:pStyle w:val="Subtitle"/>
        <w:rPr/>
      </w:pPr>
      <w:r w:rsidDel="00000000" w:rsidR="00000000" w:rsidRPr="00000000">
        <w:rPr>
          <w:rtl w:val="0"/>
        </w:rPr>
        <w:t xml:space="preserve">Sledované pásmo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vymezuje se všude tam, kde se očekává, že efektivní dávka by mohla být vyšší než 1 mSv/rok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pouze monitorování pracoviště 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Označené radioaktivním trojúhelníkem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Subtitle"/>
        <w:rPr/>
      </w:pPr>
      <w:r w:rsidDel="00000000" w:rsidR="00000000" w:rsidRPr="00000000">
        <w:rPr>
          <w:rtl w:val="0"/>
        </w:rPr>
        <w:t xml:space="preserve">Kontrolované pásmo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vymezuje se všude tam, kde by efektivní dávka mohla být vyšší než 6 mSv ročně, tj. vyšší než 3/10 limitu pro radiační pracovníky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vstup povolen pouze osobám poučeným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vstup zakázán těhotným ženám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radiační pracovníci musí být vybaveni osobními dozimetry, příp. ochrannými pracovními pomůckami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v KP se nesmí jíst, pít, kouřit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Označené radioaktivním trojúhelníkem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1"/>
        <w:numPr>
          <w:ilvl w:val="0"/>
          <w:numId w:val="3"/>
        </w:numPr>
        <w:ind w:left="432" w:hanging="432"/>
        <w:rPr/>
      </w:pPr>
      <w:r w:rsidDel="00000000" w:rsidR="00000000" w:rsidRPr="00000000">
        <w:rPr>
          <w:rtl w:val="0"/>
        </w:rPr>
        <w:t xml:space="preserve">Externí radioterapie.</w:t>
      </w:r>
    </w:p>
    <w:p w:rsidR="00000000" w:rsidDel="00000000" w:rsidP="00000000" w:rsidRDefault="00000000" w:rsidRPr="00000000" w14:paraId="00000066">
      <w:pPr>
        <w:ind w:left="432" w:firstLine="0"/>
        <w:rPr/>
      </w:pPr>
      <w:r w:rsidDel="00000000" w:rsidR="00000000" w:rsidRPr="00000000">
        <w:rPr/>
        <w:drawing>
          <wp:inline distB="114300" distT="114300" distL="114300" distR="114300">
            <wp:extent cx="5760410" cy="2400300"/>
            <wp:effectExtent b="0" l="0" r="0" t="0"/>
            <wp:docPr id="6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432" w:firstLine="0"/>
        <w:rPr/>
      </w:pPr>
      <w:r w:rsidDel="00000000" w:rsidR="00000000" w:rsidRPr="00000000">
        <w:rPr/>
        <w:drawing>
          <wp:inline distB="114300" distT="114300" distL="114300" distR="114300">
            <wp:extent cx="5760410" cy="2489200"/>
            <wp:effectExtent b="0" l="0" r="0" t="0"/>
            <wp:docPr id="5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1"/>
        <w:numPr>
          <w:ilvl w:val="0"/>
          <w:numId w:val="3"/>
        </w:numPr>
        <w:ind w:left="432" w:hanging="432"/>
        <w:rPr/>
      </w:pPr>
      <w:r w:rsidDel="00000000" w:rsidR="00000000" w:rsidRPr="00000000">
        <w:rPr>
          <w:rtl w:val="0"/>
        </w:rPr>
        <w:t xml:space="preserve">Brachyterapie.</w:t>
      </w:r>
    </w:p>
    <w:p w:rsidR="00000000" w:rsidDel="00000000" w:rsidP="00000000" w:rsidRDefault="00000000" w:rsidRPr="00000000" w14:paraId="00000069">
      <w:pPr>
        <w:ind w:left="432" w:firstLine="0"/>
        <w:rPr/>
      </w:pPr>
      <w:r w:rsidDel="00000000" w:rsidR="00000000" w:rsidRPr="00000000">
        <w:rPr>
          <w:rtl w:val="0"/>
        </w:rPr>
        <w:t xml:space="preserve">zářič vložen přímo do těla pacienta - tam kde je potřeba ozářit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1"/>
        <w:numPr>
          <w:ilvl w:val="0"/>
          <w:numId w:val="3"/>
        </w:numPr>
        <w:ind w:left="432" w:hanging="432"/>
        <w:rPr/>
      </w:pPr>
      <w:r w:rsidDel="00000000" w:rsidR="00000000" w:rsidRPr="00000000">
        <w:rPr>
          <w:rtl w:val="0"/>
        </w:rPr>
        <w:t xml:space="preserve">Radioizotopový ozařovač – princip činnosti.</w:t>
      </w:r>
    </w:p>
    <w:p w:rsidR="00000000" w:rsidDel="00000000" w:rsidP="00000000" w:rsidRDefault="00000000" w:rsidRPr="00000000" w14:paraId="0000006B">
      <w:pPr>
        <w:ind w:left="432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1"/>
        <w:numPr>
          <w:ilvl w:val="0"/>
          <w:numId w:val="3"/>
        </w:numPr>
        <w:ind w:left="432" w:hanging="432"/>
        <w:rPr/>
      </w:pPr>
      <w:r w:rsidDel="00000000" w:rsidR="00000000" w:rsidRPr="00000000">
        <w:rPr>
          <w:rtl w:val="0"/>
        </w:rPr>
        <w:t xml:space="preserve">Lineární urychlovač – princip činnosti.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5264421" cy="3257717"/>
            <wp:effectExtent b="0" l="0" r="0" t="0"/>
            <wp:wrapSquare wrapText="bothSides" distB="0" distT="0" distL="114300" distR="114300"/>
            <wp:docPr id="6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325771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0" distT="0" distL="0" distR="0">
            <wp:extent cx="5270771" cy="3708591"/>
            <wp:effectExtent b="0" l="0" r="0" t="0"/>
            <wp:docPr id="8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771" cy="37085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0" distT="0" distL="0" distR="0">
            <wp:extent cx="5194567" cy="1124008"/>
            <wp:effectExtent b="0" l="0" r="0" t="0"/>
            <wp:docPr descr="Obsah obrázku text&#10;&#10;Popis byl vytvořen automaticky" id="84" name="image32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3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4567" cy="11240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7E">
      <w:pPr>
        <w:pStyle w:val="Heading1"/>
        <w:numPr>
          <w:ilvl w:val="0"/>
          <w:numId w:val="3"/>
        </w:numPr>
        <w:ind w:left="432" w:hanging="432"/>
        <w:rPr/>
      </w:pPr>
      <w:r w:rsidDel="00000000" w:rsidR="00000000" w:rsidRPr="00000000">
        <w:rPr>
          <w:rtl w:val="0"/>
        </w:rPr>
        <w:t xml:space="preserve">Plánování radioterapie – účel + hlavní body procesu.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0" distT="0" distL="0" distR="0">
            <wp:extent cx="5760085" cy="812800"/>
            <wp:effectExtent b="0" l="0" r="0" t="0"/>
            <wp:docPr id="8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0" distT="0" distL="0" distR="0">
            <wp:extent cx="5251720" cy="3410125"/>
            <wp:effectExtent b="0" l="0" r="0" t="0"/>
            <wp:docPr id="5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1720" cy="3410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0" distT="0" distL="0" distR="0">
            <wp:extent cx="5092962" cy="3524431"/>
            <wp:effectExtent b="0" l="0" r="0" t="0"/>
            <wp:docPr id="5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35244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Style w:val="Heading1"/>
        <w:numPr>
          <w:ilvl w:val="0"/>
          <w:numId w:val="3"/>
        </w:numPr>
        <w:ind w:left="432" w:hanging="432"/>
        <w:rPr/>
      </w:pPr>
      <w:r w:rsidDel="00000000" w:rsidR="00000000" w:rsidRPr="00000000">
        <w:rPr>
          <w:rtl w:val="0"/>
        </w:rPr>
        <w:t xml:space="preserve">Způsoby modifikace svazku IZ.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0" distT="0" distL="0" distR="0">
            <wp:extent cx="5334274" cy="3822896"/>
            <wp:effectExtent b="0" l="0" r="0" t="0"/>
            <wp:docPr id="5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274" cy="38228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0" distT="0" distL="0" distR="0">
            <wp:extent cx="5340624" cy="3930852"/>
            <wp:effectExtent b="0" l="0" r="0" t="0"/>
            <wp:docPr id="5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39308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0" distT="0" distL="0" distR="0">
            <wp:extent cx="5315223" cy="3670489"/>
            <wp:effectExtent b="0" l="0" r="0" t="0"/>
            <wp:docPr id="5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5223" cy="36704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0" distT="0" distL="0" distR="0">
            <wp:extent cx="4489681" cy="3460928"/>
            <wp:effectExtent b="0" l="0" r="0" t="0"/>
            <wp:docPr id="5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9681" cy="34609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1"/>
        <w:numPr>
          <w:ilvl w:val="0"/>
          <w:numId w:val="3"/>
        </w:numPr>
        <w:ind w:left="432" w:hanging="432"/>
        <w:rPr/>
      </w:pPr>
      <w:r w:rsidDel="00000000" w:rsidR="00000000" w:rsidRPr="00000000">
        <w:rPr>
          <w:rtl w:val="0"/>
        </w:rPr>
        <w:t xml:space="preserve">Hloubková závislost ionizace urychlenými elektrony, protony, fotony.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0" distT="0" distL="0" distR="0">
            <wp:extent cx="5194567" cy="3454578"/>
            <wp:effectExtent b="0" l="0" r="0" t="0"/>
            <wp:docPr descr="Obsah obrázku text&#10;&#10;Popis byl vytvořen automaticky" id="58" name="image6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4567" cy="34545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0" distT="0" distL="0" distR="0">
            <wp:extent cx="5194567" cy="3175163"/>
            <wp:effectExtent b="0" l="0" r="0" t="0"/>
            <wp:docPr descr="Obsah obrázku text&#10;&#10;Popis byl vytvořen automaticky" id="59" name="image8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4567" cy="3175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0" distT="0" distL="0" distR="0">
            <wp:extent cx="4095961" cy="1073205"/>
            <wp:effectExtent b="0" l="0" r="0" t="0"/>
            <wp:docPr descr="Obsah obrázku text&#10;&#10;Popis byl vytvořen automaticky" id="60" name="image17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1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5961" cy="1073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0" distT="0" distL="0" distR="0">
            <wp:extent cx="5010407" cy="1327218"/>
            <wp:effectExtent b="0" l="0" r="0" t="0"/>
            <wp:docPr descr="Obsah obrázku text&#10;&#10;Popis byl vytvořen automaticky" id="61" name="image2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0407" cy="13272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0" distT="0" distL="0" distR="0">
            <wp:extent cx="5760085" cy="660400"/>
            <wp:effectExtent b="0" l="0" r="0" t="0"/>
            <wp:docPr id="7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6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0" distT="0" distL="0" distR="0">
            <wp:extent cx="1866900" cy="2578735"/>
            <wp:effectExtent b="0" l="0" r="0" t="0"/>
            <wp:docPr id="7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25787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1"/>
        <w:numPr>
          <w:ilvl w:val="0"/>
          <w:numId w:val="3"/>
        </w:numPr>
        <w:ind w:left="432" w:hanging="432"/>
        <w:rPr/>
      </w:pPr>
      <w:r w:rsidDel="00000000" w:rsidR="00000000" w:rsidRPr="00000000">
        <w:rPr>
          <w:rtl w:val="0"/>
        </w:rPr>
        <w:t xml:space="preserve">Absorpce záření v látkách. Na čem závisí lineární součinitel zeslabení?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0" distT="0" distL="0" distR="0">
            <wp:extent cx="3860800" cy="2330450"/>
            <wp:effectExtent b="0" l="0" r="0" t="0"/>
            <wp:docPr id="7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2330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1417" w:top="1417" w:left="1417" w:right="1417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0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decimal"/>
      <w:lvlText w:val="%1"/>
      <w:lvlJc w:val="left"/>
      <w:pPr>
        <w:ind w:left="432" w:hanging="432"/>
      </w:pPr>
      <w:rPr/>
    </w:lvl>
    <w:lvl w:ilvl="1">
      <w:start w:val="1"/>
      <w:numFmt w:val="decimal"/>
      <w:lvlText w:val="%1.%2"/>
      <w:lvlJc w:val="left"/>
      <w:pPr>
        <w:ind w:left="576" w:hanging="576"/>
      </w:pPr>
      <w:rPr/>
    </w:lvl>
    <w:lvl w:ilvl="2">
      <w:start w:val="1"/>
      <w:numFmt w:val="decimal"/>
      <w:lvlText w:val="%1.%2.%3"/>
      <w:lvlJc w:val="left"/>
      <w:pPr>
        <w:ind w:left="720" w:hanging="720"/>
      </w:pPr>
      <w:rPr/>
    </w:lvl>
    <w:lvl w:ilvl="3">
      <w:start w:val="1"/>
      <w:numFmt w:val="decimal"/>
      <w:lvlText w:val="%1.%2.%3.%4"/>
      <w:lvlJc w:val="left"/>
      <w:pPr>
        <w:ind w:left="864" w:hanging="864"/>
      </w:pPr>
      <w:rPr/>
    </w:lvl>
    <w:lvl w:ilvl="4">
      <w:start w:val="1"/>
      <w:numFmt w:val="decimal"/>
      <w:lvlText w:val="%1.%2.%3.%4.%5"/>
      <w:lvlJc w:val="left"/>
      <w:pPr>
        <w:ind w:left="1008" w:hanging="1008"/>
      </w:pPr>
      <w:rPr/>
    </w:lvl>
    <w:lvl w:ilvl="5">
      <w:start w:val="1"/>
      <w:numFmt w:val="decimal"/>
      <w:lvlText w:val="%1.%2.%3.%4.%5.%6"/>
      <w:lvlJc w:val="left"/>
      <w:pPr>
        <w:ind w:left="1152" w:hanging="1152"/>
      </w:pPr>
      <w:rPr/>
    </w:lvl>
    <w:lvl w:ilvl="6">
      <w:start w:val="1"/>
      <w:numFmt w:val="decimal"/>
      <w:lvlText w:val="%1.%2.%3.%4.%5.%6.%7"/>
      <w:lvlJc w:val="left"/>
      <w:pPr>
        <w:ind w:left="1296" w:hanging="1296"/>
      </w:pPr>
      <w:rPr/>
    </w:lvl>
    <w:lvl w:ilvl="7">
      <w:start w:val="1"/>
      <w:numFmt w:val="decimal"/>
      <w:lvlText w:val="%1.%2.%3.%4.%5.%6.%7.%8"/>
      <w:lvlJc w:val="left"/>
      <w:pPr>
        <w:ind w:left="1440" w:hanging="1440"/>
      </w:pPr>
      <w:rPr/>
    </w:lvl>
    <w:lvl w:ilvl="8">
      <w:start w:val="1"/>
      <w:numFmt w:val="decimal"/>
      <w:lvlText w:val="%1.%2.%3.%4.%5.%6.%7.%8.%9"/>
      <w:lvlJc w:val="left"/>
      <w:pPr>
        <w:ind w:left="1584" w:hanging="1584"/>
      </w:pPr>
      <w:rPr/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cs-CZ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  <w:ind w:left="432" w:hanging="432"/>
    </w:pPr>
    <w:rPr>
      <w:rFonts w:ascii="Calibri" w:cs="Calibri" w:eastAsia="Calibri" w:hAnsi="Calibri"/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  <w:ind w:left="576" w:hanging="576"/>
    </w:pPr>
    <w:rPr>
      <w:rFonts w:ascii="Calibri" w:cs="Calibri" w:eastAsia="Calibri" w:hAnsi="Calibri"/>
      <w:color w:val="2e75b5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  <w:ind w:left="720" w:hanging="720"/>
    </w:pPr>
    <w:rPr>
      <w:rFonts w:ascii="Calibri" w:cs="Calibri" w:eastAsia="Calibri" w:hAnsi="Calibri"/>
      <w:color w:val="1e4d78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  <w:ind w:left="864" w:hanging="864"/>
    </w:pPr>
    <w:rPr>
      <w:rFonts w:ascii="Calibri" w:cs="Calibri" w:eastAsia="Calibri" w:hAnsi="Calibri"/>
      <w:i w:val="1"/>
      <w:color w:val="2e75b5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40" w:lineRule="auto"/>
      <w:ind w:left="1008" w:hanging="1008"/>
    </w:pPr>
    <w:rPr>
      <w:rFonts w:ascii="Calibri" w:cs="Calibri" w:eastAsia="Calibri" w:hAnsi="Calibri"/>
      <w:color w:val="2e75b5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  <w:ind w:left="1152" w:hanging="1152"/>
    </w:pPr>
    <w:rPr>
      <w:rFonts w:ascii="Calibri" w:cs="Calibri" w:eastAsia="Calibri" w:hAnsi="Calibri"/>
      <w:color w:val="1e4d78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Calibri" w:cs="Calibri" w:eastAsia="Calibri" w:hAnsi="Calibri"/>
      <w:sz w:val="56"/>
      <w:szCs w:val="56"/>
    </w:rPr>
  </w:style>
  <w:style w:type="paragraph" w:styleId="Normln" w:default="1">
    <w:name w:val="Normal"/>
    <w:qFormat w:val="1"/>
  </w:style>
  <w:style w:type="paragraph" w:styleId="Nadpis1">
    <w:name w:val="heading 1"/>
    <w:basedOn w:val="Normln"/>
    <w:next w:val="Normln"/>
    <w:link w:val="Nadpis1Char"/>
    <w:uiPriority w:val="9"/>
    <w:qFormat w:val="1"/>
    <w:rsid w:val="003C5828"/>
    <w:pPr>
      <w:keepNext w:val="1"/>
      <w:keepLines w:val="1"/>
      <w:numPr>
        <w:numId w:val="2"/>
      </w:numPr>
      <w:spacing w:after="0" w:before="240"/>
      <w:outlineLvl w:val="0"/>
    </w:pPr>
    <w:rPr>
      <w:rFonts w:asciiTheme="majorHAnsi" w:cstheme="majorBidi" w:eastAsiaTheme="majorEastAsia" w:hAnsiTheme="majorHAnsi"/>
      <w:color w:val="2e74b5" w:themeColor="accent1" w:themeShade="0000BF"/>
      <w:sz w:val="32"/>
      <w:szCs w:val="32"/>
    </w:rPr>
  </w:style>
  <w:style w:type="paragraph" w:styleId="Nadpis2">
    <w:name w:val="heading 2"/>
    <w:basedOn w:val="Normln"/>
    <w:next w:val="Normln"/>
    <w:link w:val="Nadpis2Char"/>
    <w:uiPriority w:val="9"/>
    <w:semiHidden w:val="1"/>
    <w:unhideWhenUsed w:val="1"/>
    <w:qFormat w:val="1"/>
    <w:rsid w:val="00291D2C"/>
    <w:pPr>
      <w:keepNext w:val="1"/>
      <w:keepLines w:val="1"/>
      <w:numPr>
        <w:ilvl w:val="1"/>
        <w:numId w:val="2"/>
      </w:numPr>
      <w:spacing w:after="0" w:before="40"/>
      <w:outlineLvl w:val="1"/>
    </w:pPr>
    <w:rPr>
      <w:rFonts w:asciiTheme="majorHAnsi" w:cstheme="majorBidi" w:eastAsiaTheme="majorEastAsia" w:hAnsiTheme="majorHAnsi"/>
      <w:color w:val="2e74b5" w:themeColor="accent1" w:themeShade="0000BF"/>
      <w:sz w:val="26"/>
      <w:szCs w:val="26"/>
    </w:rPr>
  </w:style>
  <w:style w:type="paragraph" w:styleId="Nadpis3">
    <w:name w:val="heading 3"/>
    <w:basedOn w:val="Normln"/>
    <w:next w:val="Normln"/>
    <w:link w:val="Nadpis3Char"/>
    <w:uiPriority w:val="9"/>
    <w:semiHidden w:val="1"/>
    <w:unhideWhenUsed w:val="1"/>
    <w:qFormat w:val="1"/>
    <w:rsid w:val="00291D2C"/>
    <w:pPr>
      <w:keepNext w:val="1"/>
      <w:keepLines w:val="1"/>
      <w:numPr>
        <w:ilvl w:val="2"/>
        <w:numId w:val="2"/>
      </w:numPr>
      <w:spacing w:after="0" w:before="40"/>
      <w:outlineLvl w:val="2"/>
    </w:pPr>
    <w:rPr>
      <w:rFonts w:asciiTheme="majorHAnsi" w:cstheme="majorBidi" w:eastAsiaTheme="majorEastAsia" w:hAnsiTheme="majorHAnsi"/>
      <w:color w:val="1f4d78" w:themeColor="accent1" w:themeShade="00007F"/>
      <w:sz w:val="24"/>
      <w:szCs w:val="24"/>
    </w:rPr>
  </w:style>
  <w:style w:type="paragraph" w:styleId="Nadpis4">
    <w:name w:val="heading 4"/>
    <w:basedOn w:val="Normln"/>
    <w:next w:val="Normln"/>
    <w:link w:val="Nadpis4Char"/>
    <w:uiPriority w:val="9"/>
    <w:semiHidden w:val="1"/>
    <w:unhideWhenUsed w:val="1"/>
    <w:qFormat w:val="1"/>
    <w:rsid w:val="00291D2C"/>
    <w:pPr>
      <w:keepNext w:val="1"/>
      <w:keepLines w:val="1"/>
      <w:numPr>
        <w:ilvl w:val="3"/>
        <w:numId w:val="2"/>
      </w:numPr>
      <w:spacing w:after="0" w:before="40"/>
      <w:outlineLvl w:val="3"/>
    </w:pPr>
    <w:rPr>
      <w:rFonts w:asciiTheme="majorHAnsi" w:cstheme="majorBidi" w:eastAsiaTheme="majorEastAsia" w:hAnsiTheme="majorHAnsi"/>
      <w:i w:val="1"/>
      <w:iCs w:val="1"/>
      <w:color w:val="2e74b5" w:themeColor="accent1" w:themeShade="0000BF"/>
    </w:rPr>
  </w:style>
  <w:style w:type="paragraph" w:styleId="Nadpis5">
    <w:name w:val="heading 5"/>
    <w:basedOn w:val="Normln"/>
    <w:next w:val="Normln"/>
    <w:link w:val="Nadpis5Char"/>
    <w:uiPriority w:val="9"/>
    <w:semiHidden w:val="1"/>
    <w:unhideWhenUsed w:val="1"/>
    <w:qFormat w:val="1"/>
    <w:rsid w:val="00291D2C"/>
    <w:pPr>
      <w:keepNext w:val="1"/>
      <w:keepLines w:val="1"/>
      <w:numPr>
        <w:ilvl w:val="4"/>
        <w:numId w:val="2"/>
      </w:numPr>
      <w:spacing w:after="0" w:before="40"/>
      <w:outlineLvl w:val="4"/>
    </w:pPr>
    <w:rPr>
      <w:rFonts w:asciiTheme="majorHAnsi" w:cstheme="majorBidi" w:eastAsiaTheme="majorEastAsia" w:hAnsiTheme="majorHAnsi"/>
      <w:color w:val="2e74b5" w:themeColor="accent1" w:themeShade="0000BF"/>
    </w:rPr>
  </w:style>
  <w:style w:type="paragraph" w:styleId="Nadpis6">
    <w:name w:val="heading 6"/>
    <w:basedOn w:val="Normln"/>
    <w:next w:val="Normln"/>
    <w:link w:val="Nadpis6Char"/>
    <w:uiPriority w:val="9"/>
    <w:semiHidden w:val="1"/>
    <w:unhideWhenUsed w:val="1"/>
    <w:qFormat w:val="1"/>
    <w:rsid w:val="00291D2C"/>
    <w:pPr>
      <w:keepNext w:val="1"/>
      <w:keepLines w:val="1"/>
      <w:numPr>
        <w:ilvl w:val="5"/>
        <w:numId w:val="2"/>
      </w:numPr>
      <w:spacing w:after="0" w:before="40"/>
      <w:outlineLvl w:val="5"/>
    </w:pPr>
    <w:rPr>
      <w:rFonts w:asciiTheme="majorHAnsi" w:cstheme="majorBidi" w:eastAsiaTheme="majorEastAsia" w:hAnsiTheme="majorHAnsi"/>
      <w:color w:val="1f4d78" w:themeColor="accent1" w:themeShade="00007F"/>
    </w:rPr>
  </w:style>
  <w:style w:type="paragraph" w:styleId="Nadpis7">
    <w:name w:val="heading 7"/>
    <w:basedOn w:val="Normln"/>
    <w:next w:val="Normln"/>
    <w:link w:val="Nadpis7Char"/>
    <w:uiPriority w:val="9"/>
    <w:semiHidden w:val="1"/>
    <w:unhideWhenUsed w:val="1"/>
    <w:qFormat w:val="1"/>
    <w:rsid w:val="00291D2C"/>
    <w:pPr>
      <w:keepNext w:val="1"/>
      <w:keepLines w:val="1"/>
      <w:numPr>
        <w:ilvl w:val="6"/>
        <w:numId w:val="2"/>
      </w:numPr>
      <w:spacing w:after="0" w:before="40"/>
      <w:outlineLvl w:val="6"/>
    </w:pPr>
    <w:rPr>
      <w:rFonts w:asciiTheme="majorHAnsi" w:cstheme="majorBidi" w:eastAsiaTheme="majorEastAsia" w:hAnsiTheme="majorHAnsi"/>
      <w:i w:val="1"/>
      <w:iCs w:val="1"/>
      <w:color w:val="1f4d78" w:themeColor="accent1" w:themeShade="00007F"/>
    </w:rPr>
  </w:style>
  <w:style w:type="paragraph" w:styleId="Nadpis8">
    <w:name w:val="heading 8"/>
    <w:basedOn w:val="Normln"/>
    <w:next w:val="Normln"/>
    <w:link w:val="Nadpis8Char"/>
    <w:uiPriority w:val="9"/>
    <w:semiHidden w:val="1"/>
    <w:unhideWhenUsed w:val="1"/>
    <w:qFormat w:val="1"/>
    <w:rsid w:val="00291D2C"/>
    <w:pPr>
      <w:keepNext w:val="1"/>
      <w:keepLines w:val="1"/>
      <w:numPr>
        <w:ilvl w:val="7"/>
        <w:numId w:val="2"/>
      </w:numPr>
      <w:spacing w:after="0" w:before="40"/>
      <w:outlineLvl w:val="7"/>
    </w:pPr>
    <w:rPr>
      <w:rFonts w:asciiTheme="majorHAnsi" w:cstheme="majorBidi" w:eastAsiaTheme="majorEastAsia" w:hAnsiTheme="majorHAnsi"/>
      <w:color w:val="272727" w:themeColor="text1" w:themeTint="0000D8"/>
      <w:sz w:val="21"/>
      <w:szCs w:val="21"/>
    </w:rPr>
  </w:style>
  <w:style w:type="paragraph" w:styleId="Nadpis9">
    <w:name w:val="heading 9"/>
    <w:basedOn w:val="Normln"/>
    <w:next w:val="Normln"/>
    <w:link w:val="Nadpis9Char"/>
    <w:uiPriority w:val="9"/>
    <w:semiHidden w:val="1"/>
    <w:unhideWhenUsed w:val="1"/>
    <w:qFormat w:val="1"/>
    <w:rsid w:val="00291D2C"/>
    <w:pPr>
      <w:keepNext w:val="1"/>
      <w:keepLines w:val="1"/>
      <w:numPr>
        <w:ilvl w:val="8"/>
        <w:numId w:val="2"/>
      </w:numPr>
      <w:spacing w:after="0" w:before="40"/>
      <w:outlineLvl w:val="8"/>
    </w:pPr>
    <w:rPr>
      <w:rFonts w:asciiTheme="majorHAnsi" w:cstheme="majorBidi" w:eastAsiaTheme="majorEastAsia" w:hAnsiTheme="majorHAnsi"/>
      <w:i w:val="1"/>
      <w:iCs w:val="1"/>
      <w:color w:val="272727" w:themeColor="text1" w:themeTint="0000D8"/>
      <w:sz w:val="21"/>
      <w:szCs w:val="21"/>
    </w:rPr>
  </w:style>
  <w:style w:type="character" w:styleId="Standardnpsmoodstavce" w:default="1">
    <w:name w:val="Default Paragraph Font"/>
    <w:uiPriority w:val="1"/>
    <w:semiHidden w:val="1"/>
    <w:unhideWhenUsed w:val="1"/>
  </w:style>
  <w:style w:type="table" w:styleId="Normlntabulka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Bezseznamu" w:default="1">
    <w:name w:val="No List"/>
    <w:uiPriority w:val="99"/>
    <w:semiHidden w:val="1"/>
    <w:unhideWhenUsed w:val="1"/>
  </w:style>
  <w:style w:type="character" w:styleId="Nadpis1Char" w:customStyle="1">
    <w:name w:val="Nadpis 1 Char"/>
    <w:basedOn w:val="Standardnpsmoodstavce"/>
    <w:link w:val="Nadpis1"/>
    <w:uiPriority w:val="9"/>
    <w:rsid w:val="003C5828"/>
    <w:rPr>
      <w:rFonts w:asciiTheme="majorHAnsi" w:cstheme="majorBidi" w:eastAsiaTheme="majorEastAsia" w:hAnsiTheme="majorHAnsi"/>
      <w:color w:val="2e74b5" w:themeColor="accent1" w:themeShade="0000BF"/>
      <w:sz w:val="32"/>
      <w:szCs w:val="32"/>
    </w:rPr>
  </w:style>
  <w:style w:type="paragraph" w:styleId="Odstavecseseznamem">
    <w:name w:val="List Paragraph"/>
    <w:basedOn w:val="Normln"/>
    <w:uiPriority w:val="34"/>
    <w:qFormat w:val="1"/>
    <w:rsid w:val="003C5828"/>
    <w:pPr>
      <w:ind w:left="720"/>
      <w:contextualSpacing w:val="1"/>
    </w:pPr>
  </w:style>
  <w:style w:type="paragraph" w:styleId="Nzev">
    <w:name w:val="Title"/>
    <w:basedOn w:val="Normln"/>
    <w:next w:val="Normln"/>
    <w:link w:val="NzevChar"/>
    <w:uiPriority w:val="10"/>
    <w:qFormat w:val="1"/>
    <w:rsid w:val="00291D2C"/>
    <w:pPr>
      <w:spacing w:after="0" w:line="240" w:lineRule="auto"/>
      <w:contextualSpacing w:val="1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NzevChar" w:customStyle="1">
    <w:name w:val="Název Char"/>
    <w:basedOn w:val="Standardnpsmoodstavce"/>
    <w:link w:val="Nzev"/>
    <w:uiPriority w:val="10"/>
    <w:rsid w:val="00291D2C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Nadpis2Char" w:customStyle="1">
    <w:name w:val="Nadpis 2 Char"/>
    <w:basedOn w:val="Standardnpsmoodstavce"/>
    <w:link w:val="Nadpis2"/>
    <w:uiPriority w:val="9"/>
    <w:semiHidden w:val="1"/>
    <w:rsid w:val="00291D2C"/>
    <w:rPr>
      <w:rFonts w:asciiTheme="majorHAnsi" w:cstheme="majorBidi" w:eastAsiaTheme="majorEastAsia" w:hAnsiTheme="majorHAnsi"/>
      <w:color w:val="2e74b5" w:themeColor="accent1" w:themeShade="0000BF"/>
      <w:sz w:val="26"/>
      <w:szCs w:val="26"/>
    </w:rPr>
  </w:style>
  <w:style w:type="character" w:styleId="Nadpis3Char" w:customStyle="1">
    <w:name w:val="Nadpis 3 Char"/>
    <w:basedOn w:val="Standardnpsmoodstavce"/>
    <w:link w:val="Nadpis3"/>
    <w:uiPriority w:val="9"/>
    <w:semiHidden w:val="1"/>
    <w:rsid w:val="00291D2C"/>
    <w:rPr>
      <w:rFonts w:asciiTheme="majorHAnsi" w:cstheme="majorBidi" w:eastAsiaTheme="majorEastAsia" w:hAnsiTheme="majorHAnsi"/>
      <w:color w:val="1f4d78" w:themeColor="accent1" w:themeShade="00007F"/>
      <w:sz w:val="24"/>
      <w:szCs w:val="24"/>
    </w:rPr>
  </w:style>
  <w:style w:type="character" w:styleId="Nadpis4Char" w:customStyle="1">
    <w:name w:val="Nadpis 4 Char"/>
    <w:basedOn w:val="Standardnpsmoodstavce"/>
    <w:link w:val="Nadpis4"/>
    <w:uiPriority w:val="9"/>
    <w:semiHidden w:val="1"/>
    <w:rsid w:val="00291D2C"/>
    <w:rPr>
      <w:rFonts w:asciiTheme="majorHAnsi" w:cstheme="majorBidi" w:eastAsiaTheme="majorEastAsia" w:hAnsiTheme="majorHAnsi"/>
      <w:i w:val="1"/>
      <w:iCs w:val="1"/>
      <w:color w:val="2e74b5" w:themeColor="accent1" w:themeShade="0000BF"/>
    </w:rPr>
  </w:style>
  <w:style w:type="character" w:styleId="Nadpis5Char" w:customStyle="1">
    <w:name w:val="Nadpis 5 Char"/>
    <w:basedOn w:val="Standardnpsmoodstavce"/>
    <w:link w:val="Nadpis5"/>
    <w:uiPriority w:val="9"/>
    <w:semiHidden w:val="1"/>
    <w:rsid w:val="00291D2C"/>
    <w:rPr>
      <w:rFonts w:asciiTheme="majorHAnsi" w:cstheme="majorBidi" w:eastAsiaTheme="majorEastAsia" w:hAnsiTheme="majorHAnsi"/>
      <w:color w:val="2e74b5" w:themeColor="accent1" w:themeShade="0000BF"/>
    </w:rPr>
  </w:style>
  <w:style w:type="character" w:styleId="Nadpis6Char" w:customStyle="1">
    <w:name w:val="Nadpis 6 Char"/>
    <w:basedOn w:val="Standardnpsmoodstavce"/>
    <w:link w:val="Nadpis6"/>
    <w:uiPriority w:val="9"/>
    <w:semiHidden w:val="1"/>
    <w:rsid w:val="00291D2C"/>
    <w:rPr>
      <w:rFonts w:asciiTheme="majorHAnsi" w:cstheme="majorBidi" w:eastAsiaTheme="majorEastAsia" w:hAnsiTheme="majorHAnsi"/>
      <w:color w:val="1f4d78" w:themeColor="accent1" w:themeShade="00007F"/>
    </w:rPr>
  </w:style>
  <w:style w:type="character" w:styleId="Nadpis7Char" w:customStyle="1">
    <w:name w:val="Nadpis 7 Char"/>
    <w:basedOn w:val="Standardnpsmoodstavce"/>
    <w:link w:val="Nadpis7"/>
    <w:uiPriority w:val="9"/>
    <w:semiHidden w:val="1"/>
    <w:rsid w:val="00291D2C"/>
    <w:rPr>
      <w:rFonts w:asciiTheme="majorHAnsi" w:cstheme="majorBidi" w:eastAsiaTheme="majorEastAsia" w:hAnsiTheme="majorHAnsi"/>
      <w:i w:val="1"/>
      <w:iCs w:val="1"/>
      <w:color w:val="1f4d78" w:themeColor="accent1" w:themeShade="00007F"/>
    </w:rPr>
  </w:style>
  <w:style w:type="character" w:styleId="Nadpis8Char" w:customStyle="1">
    <w:name w:val="Nadpis 8 Char"/>
    <w:basedOn w:val="Standardnpsmoodstavce"/>
    <w:link w:val="Nadpis8"/>
    <w:uiPriority w:val="9"/>
    <w:semiHidden w:val="1"/>
    <w:rsid w:val="00291D2C"/>
    <w:rPr>
      <w:rFonts w:asciiTheme="majorHAnsi" w:cstheme="majorBidi" w:eastAsiaTheme="majorEastAsia" w:hAnsiTheme="majorHAnsi"/>
      <w:color w:val="272727" w:themeColor="text1" w:themeTint="0000D8"/>
      <w:sz w:val="21"/>
      <w:szCs w:val="21"/>
    </w:rPr>
  </w:style>
  <w:style w:type="character" w:styleId="Nadpis9Char" w:customStyle="1">
    <w:name w:val="Nadpis 9 Char"/>
    <w:basedOn w:val="Standardnpsmoodstavce"/>
    <w:link w:val="Nadpis9"/>
    <w:uiPriority w:val="9"/>
    <w:semiHidden w:val="1"/>
    <w:rsid w:val="00291D2C"/>
    <w:rPr>
      <w:rFonts w:asciiTheme="majorHAnsi" w:cstheme="majorBidi" w:eastAsiaTheme="majorEastAsia" w:hAnsiTheme="majorHAnsi"/>
      <w:i w:val="1"/>
      <w:iCs w:val="1"/>
      <w:color w:val="272727" w:themeColor="text1" w:themeTint="0000D8"/>
      <w:sz w:val="21"/>
      <w:szCs w:val="21"/>
    </w:rPr>
  </w:style>
  <w:style w:type="paragraph" w:styleId="Podnadpis">
    <w:name w:val="Subtitle"/>
    <w:basedOn w:val="Normln"/>
    <w:next w:val="Normln"/>
    <w:link w:val="PodnadpisChar"/>
    <w:uiPriority w:val="11"/>
    <w:qFormat w:val="1"/>
    <w:rsid w:val="00790C76"/>
    <w:pPr>
      <w:spacing w:line="256" w:lineRule="auto"/>
    </w:pPr>
    <w:rPr>
      <w:rFonts w:ascii="Calibri" w:cs="Calibri" w:eastAsia="Calibri" w:hAnsi="Calibri"/>
      <w:color w:val="5a5a5a"/>
      <w:lang w:eastAsia="cs-CZ"/>
    </w:rPr>
  </w:style>
  <w:style w:type="character" w:styleId="PodnadpisChar" w:customStyle="1">
    <w:name w:val="Podnadpis Char"/>
    <w:basedOn w:val="Standardnpsmoodstavce"/>
    <w:link w:val="Podnadpis"/>
    <w:uiPriority w:val="11"/>
    <w:rsid w:val="00790C76"/>
    <w:rPr>
      <w:rFonts w:ascii="Calibri" w:cs="Calibri" w:eastAsia="Calibri" w:hAnsi="Calibri"/>
      <w:color w:val="5a5a5a"/>
      <w:lang w:eastAsia="cs-CZ"/>
    </w:rPr>
  </w:style>
  <w:style w:type="character" w:styleId="Hypertextovodkaz">
    <w:name w:val="Hyperlink"/>
    <w:basedOn w:val="Standardnpsmoodstavce"/>
    <w:uiPriority w:val="99"/>
    <w:unhideWhenUsed w:val="1"/>
    <w:rsid w:val="00996D31"/>
    <w:rPr>
      <w:color w:val="0563c1" w:themeColor="hyperlink"/>
      <w:u w:val="single"/>
    </w:rPr>
  </w:style>
  <w:style w:type="character" w:styleId="Nevyeenzmnka">
    <w:name w:val="Unresolved Mention"/>
    <w:basedOn w:val="Standardnpsmoodstavce"/>
    <w:uiPriority w:val="99"/>
    <w:semiHidden w:val="1"/>
    <w:unhideWhenUsed w:val="1"/>
    <w:rsid w:val="00996D31"/>
    <w:rPr>
      <w:color w:val="605e5c"/>
      <w:shd w:color="auto" w:fill="e1dfdd" w:val="clear"/>
    </w:rPr>
  </w:style>
  <w:style w:type="paragraph" w:styleId="Subtitle">
    <w:name w:val="Subtitle"/>
    <w:basedOn w:val="Normal"/>
    <w:next w:val="Normal"/>
    <w:pPr>
      <w:spacing w:line="256" w:lineRule="auto"/>
    </w:pPr>
    <w:rPr>
      <w:rFonts w:ascii="Calibri" w:cs="Calibri" w:eastAsia="Calibri" w:hAnsi="Calibri"/>
      <w:color w:val="5a5a5a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4.png"/><Relationship Id="rId20" Type="http://schemas.openxmlformats.org/officeDocument/2006/relationships/image" Target="media/image21.png"/><Relationship Id="rId42" Type="http://schemas.openxmlformats.org/officeDocument/2006/relationships/image" Target="media/image22.png"/><Relationship Id="rId41" Type="http://schemas.openxmlformats.org/officeDocument/2006/relationships/image" Target="media/image25.png"/><Relationship Id="rId22" Type="http://schemas.openxmlformats.org/officeDocument/2006/relationships/image" Target="media/image33.png"/><Relationship Id="rId21" Type="http://schemas.openxmlformats.org/officeDocument/2006/relationships/image" Target="media/image29.png"/><Relationship Id="rId24" Type="http://schemas.openxmlformats.org/officeDocument/2006/relationships/image" Target="media/image12.png"/><Relationship Id="rId23" Type="http://schemas.openxmlformats.org/officeDocument/2006/relationships/image" Target="media/image3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26" Type="http://schemas.openxmlformats.org/officeDocument/2006/relationships/image" Target="media/image27.png"/><Relationship Id="rId25" Type="http://schemas.openxmlformats.org/officeDocument/2006/relationships/image" Target="media/image14.png"/><Relationship Id="rId28" Type="http://schemas.openxmlformats.org/officeDocument/2006/relationships/image" Target="media/image32.png"/><Relationship Id="rId27" Type="http://schemas.openxmlformats.org/officeDocument/2006/relationships/image" Target="media/image31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35.png"/><Relationship Id="rId7" Type="http://schemas.openxmlformats.org/officeDocument/2006/relationships/image" Target="media/image1.png"/><Relationship Id="rId8" Type="http://schemas.openxmlformats.org/officeDocument/2006/relationships/hyperlink" Target="https://astronuklfyzika.cz/DetekceSpektrometrie.htm#4" TargetMode="External"/><Relationship Id="rId31" Type="http://schemas.openxmlformats.org/officeDocument/2006/relationships/image" Target="media/image4.png"/><Relationship Id="rId30" Type="http://schemas.openxmlformats.org/officeDocument/2006/relationships/image" Target="media/image7.png"/><Relationship Id="rId11" Type="http://schemas.openxmlformats.org/officeDocument/2006/relationships/image" Target="media/image13.png"/><Relationship Id="rId33" Type="http://schemas.openxmlformats.org/officeDocument/2006/relationships/image" Target="media/image15.png"/><Relationship Id="rId10" Type="http://schemas.openxmlformats.org/officeDocument/2006/relationships/image" Target="media/image19.png"/><Relationship Id="rId32" Type="http://schemas.openxmlformats.org/officeDocument/2006/relationships/image" Target="media/image16.png"/><Relationship Id="rId13" Type="http://schemas.openxmlformats.org/officeDocument/2006/relationships/image" Target="media/image3.png"/><Relationship Id="rId35" Type="http://schemas.openxmlformats.org/officeDocument/2006/relationships/image" Target="media/image5.png"/><Relationship Id="rId12" Type="http://schemas.openxmlformats.org/officeDocument/2006/relationships/image" Target="media/image18.png"/><Relationship Id="rId34" Type="http://schemas.openxmlformats.org/officeDocument/2006/relationships/image" Target="media/image10.png"/><Relationship Id="rId15" Type="http://schemas.openxmlformats.org/officeDocument/2006/relationships/image" Target="media/image34.png"/><Relationship Id="rId37" Type="http://schemas.openxmlformats.org/officeDocument/2006/relationships/image" Target="media/image8.png"/><Relationship Id="rId14" Type="http://schemas.openxmlformats.org/officeDocument/2006/relationships/image" Target="media/image9.png"/><Relationship Id="rId36" Type="http://schemas.openxmlformats.org/officeDocument/2006/relationships/image" Target="media/image6.png"/><Relationship Id="rId17" Type="http://schemas.openxmlformats.org/officeDocument/2006/relationships/image" Target="media/image28.png"/><Relationship Id="rId39" Type="http://schemas.openxmlformats.org/officeDocument/2006/relationships/image" Target="media/image2.png"/><Relationship Id="rId16" Type="http://schemas.openxmlformats.org/officeDocument/2006/relationships/image" Target="media/image20.png"/><Relationship Id="rId38" Type="http://schemas.openxmlformats.org/officeDocument/2006/relationships/image" Target="media/image17.png"/><Relationship Id="rId19" Type="http://schemas.openxmlformats.org/officeDocument/2006/relationships/image" Target="media/image23.png"/><Relationship Id="rId18" Type="http://schemas.openxmlformats.org/officeDocument/2006/relationships/image" Target="media/image2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qFHqC/hur5NMtSDHISZDlAdPA+A==">AMUW2mVqAU4weeCs2TWVrz+vlDnYEFG2IwElgB4GY5ZZ2r1W323Hk8fcWfttOIRhhnbsta7DslGmmWDKZdpCpnu9f+lAv7pVeDmxXyHWrBaSYaL2ytBBUfE=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2019-01-02T13:02:00Z</dcterms:created>
  <dc:creator>Láďa</dc:creator>
</cp:coreProperties>
</file>